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A0" w:rsidRDefault="00BC018F" w:rsidP="00AB6860">
      <w:pPr>
        <w:pStyle w:val="CRCoverPage"/>
        <w:spacing w:after="0"/>
        <w:rPr>
          <w:b/>
          <w:i/>
          <w:noProof/>
          <w:sz w:val="28"/>
        </w:rPr>
      </w:pPr>
      <w:bookmarkStart w:id="0" w:name="OLE_LINK1"/>
      <w:bookmarkStart w:id="1" w:name="OLE_LINK3"/>
      <w:bookmarkStart w:id="2" w:name="_Ref244672832"/>
      <w:bookmarkStart w:id="3" w:name="_GoBack"/>
      <w:bookmarkEnd w:id="3"/>
      <w:r w:rsidRPr="00BC018F">
        <w:rPr>
          <w:b/>
          <w:noProof/>
          <w:sz w:val="24"/>
        </w:rPr>
        <w:t>3GPP TSG-RAN WG</w:t>
      </w:r>
      <w:r w:rsidR="009C6BDC">
        <w:rPr>
          <w:b/>
          <w:noProof/>
          <w:sz w:val="24"/>
        </w:rPr>
        <w:t>1</w:t>
      </w:r>
      <w:r w:rsidRPr="00BC018F">
        <w:rPr>
          <w:b/>
          <w:noProof/>
          <w:sz w:val="24"/>
        </w:rPr>
        <w:t xml:space="preserve"> Meeting #</w:t>
      </w:r>
      <w:r w:rsidR="009C6BDC">
        <w:rPr>
          <w:b/>
          <w:noProof/>
          <w:sz w:val="24"/>
        </w:rPr>
        <w:t>84</w:t>
      </w:r>
      <w:r w:rsidR="008F5E02">
        <w:rPr>
          <w:b/>
          <w:noProof/>
          <w:sz w:val="24"/>
        </w:rPr>
        <w:t>bis</w:t>
      </w:r>
      <w:r w:rsidR="00B47E19">
        <w:rPr>
          <w:b/>
          <w:i/>
          <w:noProof/>
          <w:sz w:val="28"/>
        </w:rPr>
        <w:t xml:space="preserve">   </w:t>
      </w:r>
      <w:r w:rsidR="003B052E">
        <w:rPr>
          <w:b/>
          <w:i/>
          <w:noProof/>
          <w:sz w:val="28"/>
        </w:rPr>
        <w:t xml:space="preserve">                                   </w:t>
      </w:r>
      <w:r w:rsidR="00FD66AE">
        <w:rPr>
          <w:b/>
          <w:i/>
          <w:noProof/>
          <w:sz w:val="28"/>
        </w:rPr>
        <w:t xml:space="preserve">     </w:t>
      </w:r>
      <w:r w:rsidR="00AB6860" w:rsidRPr="00AB6860">
        <w:rPr>
          <w:b/>
          <w:i/>
          <w:noProof/>
          <w:sz w:val="28"/>
        </w:rPr>
        <w:t>R1-162766</w:t>
      </w:r>
    </w:p>
    <w:p w:rsidR="006966FB" w:rsidRDefault="009C6BDC" w:rsidP="00875A1D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Busan</w:t>
      </w:r>
      <w:r w:rsidR="00277A26">
        <w:rPr>
          <w:rFonts w:ascii="Arial" w:hAnsi="Arial"/>
          <w:b/>
          <w:noProof/>
          <w:szCs w:val="20"/>
          <w:lang w:val="en-GB"/>
        </w:rPr>
        <w:t>,</w:t>
      </w:r>
      <w:r w:rsidR="00277A26" w:rsidRPr="00277A26">
        <w:rPr>
          <w:rFonts w:ascii="Arial" w:hAnsi="Arial"/>
          <w:b/>
          <w:noProof/>
          <w:szCs w:val="20"/>
          <w:lang w:val="en-GB"/>
        </w:rPr>
        <w:t xml:space="preserve"> </w:t>
      </w:r>
      <w:r>
        <w:rPr>
          <w:rFonts w:ascii="Arial" w:hAnsi="Arial"/>
          <w:b/>
          <w:noProof/>
          <w:szCs w:val="20"/>
          <w:lang w:val="en-GB"/>
        </w:rPr>
        <w:t>Korea</w:t>
      </w:r>
      <w:r w:rsidR="00277A26">
        <w:rPr>
          <w:rFonts w:ascii="Arial" w:hAnsi="Arial"/>
          <w:b/>
          <w:noProof/>
          <w:szCs w:val="20"/>
          <w:lang w:val="en-GB"/>
        </w:rPr>
        <w:t xml:space="preserve">, </w:t>
      </w:r>
      <w:r w:rsidR="009D0B0A" w:rsidRPr="009D0B0A">
        <w:rPr>
          <w:rFonts w:ascii="Arial" w:hAnsi="Arial"/>
          <w:b/>
          <w:noProof/>
          <w:szCs w:val="20"/>
          <w:lang w:val="en-GB"/>
        </w:rPr>
        <w:t xml:space="preserve">11 - 15 Apr 2016   </w:t>
      </w:r>
    </w:p>
    <w:p w:rsidR="00DE2F23" w:rsidRDefault="00DE2F23" w:rsidP="00875A1D">
      <w:pPr>
        <w:pStyle w:val="BodyText"/>
        <w:rPr>
          <w:rFonts w:eastAsia="SimSun"/>
          <w:b/>
          <w:noProof/>
          <w:lang w:eastAsia="zh-CN"/>
        </w:rPr>
      </w:pP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:rsidR="00B8022D" w:rsidRPr="002A2AFE" w:rsidRDefault="00B8022D" w:rsidP="00B8022D">
      <w:pPr>
        <w:pStyle w:val="BodyText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9C6BDC" w:rsidRPr="002B21F6">
        <w:t xml:space="preserve">Considerations for </w:t>
      </w:r>
      <w:r w:rsidR="002A2AFE">
        <w:t>PRACH options</w:t>
      </w:r>
      <w:r w:rsidR="009C6BDC">
        <w:t xml:space="preserve"> related to LS R4-161254</w:t>
      </w: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9C6BDC">
        <w:t>5</w:t>
      </w:r>
    </w:p>
    <w:p w:rsidR="00B8022D" w:rsidRPr="002A2AFE" w:rsidRDefault="00B8022D" w:rsidP="00B8022D">
      <w:pPr>
        <w:pStyle w:val="BodyText"/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2A2AFE" w:rsidRPr="002A2AFE">
        <w:t>Discussion</w:t>
      </w:r>
      <w:r w:rsidR="009C6BDC">
        <w:t xml:space="preserve"> &amp; Decision</w:t>
      </w:r>
    </w:p>
    <w:p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1 </w:t>
      </w:r>
      <w:r w:rsidRPr="006A67A0">
        <w:rPr>
          <w:lang w:val="en-US"/>
        </w:rPr>
        <w:t>Introduction</w:t>
      </w:r>
    </w:p>
    <w:p w:rsidR="00213FC6" w:rsidRPr="00213FC6" w:rsidRDefault="009C6BDC" w:rsidP="00213FC6">
      <w:pPr>
        <w:rPr>
          <w:lang w:val="en-US" w:eastAsia="en-US"/>
        </w:rPr>
      </w:pPr>
      <w:r>
        <w:rPr>
          <w:lang w:val="en-US" w:eastAsia="en-US"/>
        </w:rPr>
        <w:t xml:space="preserve">RAN4 set the LS in </w:t>
      </w:r>
      <w:r w:rsidR="00D4102F">
        <w:rPr>
          <w:lang w:val="en-US" w:eastAsia="en-US"/>
        </w:rPr>
        <w:t xml:space="preserve">[1]. </w:t>
      </w:r>
      <w:r>
        <w:rPr>
          <w:lang w:val="en-US" w:eastAsia="en-US"/>
        </w:rPr>
        <w:t>In this contribution w</w:t>
      </w:r>
      <w:r w:rsidR="00D4102F">
        <w:rPr>
          <w:lang w:val="en-US" w:eastAsia="en-US"/>
        </w:rPr>
        <w:t xml:space="preserve">e </w:t>
      </w:r>
      <w:r w:rsidR="00AE17FD">
        <w:rPr>
          <w:lang w:val="en-US" w:eastAsia="en-US"/>
        </w:rPr>
        <w:t>analyze</w:t>
      </w:r>
      <w:r w:rsidR="00D4102F">
        <w:rPr>
          <w:lang w:val="en-US" w:eastAsia="en-US"/>
        </w:rPr>
        <w:t xml:space="preserve"> the different options in the LS and compare with options available using current specification.</w:t>
      </w:r>
    </w:p>
    <w:p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2 </w:t>
      </w:r>
      <w:r w:rsidRPr="006A67A0">
        <w:rPr>
          <w:lang w:val="en-US"/>
        </w:rPr>
        <w:t>Discussion</w:t>
      </w:r>
    </w:p>
    <w:p w:rsidR="0053671A" w:rsidRPr="0053671A" w:rsidRDefault="0053671A" w:rsidP="0053671A">
      <w:pPr>
        <w:rPr>
          <w:lang w:val="en-US" w:eastAsia="en-US"/>
        </w:rPr>
      </w:pPr>
      <w:r>
        <w:rPr>
          <w:lang w:val="en-US" w:eastAsia="en-US"/>
        </w:rPr>
        <w:t>We offer a short technical background and then proceed with the analysis.</w:t>
      </w:r>
    </w:p>
    <w:p w:rsidR="00F43F8E" w:rsidRDefault="00F43F8E" w:rsidP="00F43F8E">
      <w:pPr>
        <w:pStyle w:val="Heading2"/>
      </w:pPr>
      <w:r>
        <w:t>2.1 Technical background</w:t>
      </w:r>
    </w:p>
    <w:p w:rsidR="00AE17FD" w:rsidRPr="002C75D5" w:rsidRDefault="00AE17FD" w:rsidP="00AE17FD">
      <w:pPr>
        <w:rPr>
          <w:rFonts w:eastAsiaTheme="minorEastAsia" w:cs="Arial"/>
        </w:rPr>
      </w:pPr>
      <w:r>
        <w:rPr>
          <w:rFonts w:cs="Arial"/>
        </w:rPr>
        <w:t>When a PRACH preamble is transmitted a</w:t>
      </w:r>
      <w:r w:rsidRPr="002C75D5">
        <w:rPr>
          <w:rFonts w:cs="Arial"/>
        </w:rPr>
        <w:t xml:space="preserve"> peak</w:t>
      </w:r>
      <w:r>
        <w:rPr>
          <w:rFonts w:cs="Arial"/>
        </w:rPr>
        <w:t xml:space="preserve"> </w:t>
      </w:r>
      <w:r w:rsidRPr="002C75D5">
        <w:rPr>
          <w:rFonts w:cs="Arial"/>
        </w:rPr>
        <w:t>in the matched filter output of the PRACH receiver</w:t>
      </w:r>
      <w:r>
        <w:rPr>
          <w:rFonts w:cs="Arial"/>
        </w:rPr>
        <w:t xml:space="preserve"> will appear. The peak may correspond to different pairs of delay and frequency offset. A PRACH preamble received at frequency </w:t>
      </w:r>
      <w:proofErr w:type="gramStart"/>
      <w:r>
        <w:rPr>
          <w:rFonts w:cs="Arial"/>
        </w:rPr>
        <w:t xml:space="preserve">offset 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d</m:t>
            </m:r>
          </m:sub>
        </m:sSub>
        <m:r>
          <w:rPr>
            <w:rFonts w:ascii="Cambria Math" w:hAnsi="Cambria Math" w:cs="Arial"/>
          </w:rPr>
          <m:t>=k</m:t>
        </m:r>
        <m:r>
          <m:rPr>
            <m:sty m:val="p"/>
          </m:rPr>
          <w:rPr>
            <w:rFonts w:ascii="Cambria Math" w:hAnsi="Cambria Math" w:cs="Arial"/>
          </w:rPr>
          <m:t>Δ</m:t>
        </m:r>
        <m:r>
          <w:rPr>
            <w:rFonts w:ascii="Cambria Math" w:hAnsi="Cambria Math" w:cs="Arial"/>
          </w:rPr>
          <m:t>f</m:t>
        </m:r>
      </m:oMath>
      <w:r>
        <w:rPr>
          <w:rFonts w:eastAsiaTheme="minorEastAsia" w:cs="Arial"/>
        </w:rPr>
        <w:t xml:space="preserve">, </w:t>
      </w:r>
      <w:r w:rsidRPr="002C75D5">
        <w:rPr>
          <w:rFonts w:eastAsiaTheme="minorEastAsia" w:cs="Arial"/>
        </w:rPr>
        <w:t xml:space="preserve">where </w:t>
      </w:r>
      <m:oMath>
        <m:r>
          <w:rPr>
            <w:rFonts w:ascii="Cambria Math" w:eastAsiaTheme="minorEastAsia" w:hAnsi="Cambria Math" w:cs="Arial"/>
          </w:rPr>
          <m:t>k</m:t>
        </m:r>
      </m:oMath>
      <w:r w:rsidRPr="002C75D5">
        <w:rPr>
          <w:rFonts w:eastAsiaTheme="minorEastAsia" w:cs="Arial"/>
        </w:rPr>
        <w:t xml:space="preserve"> is an integer</w:t>
      </w:r>
      <w:r>
        <w:rPr>
          <w:rFonts w:eastAsiaTheme="minorEastAsia" w:cs="Arial"/>
        </w:rPr>
        <w:t xml:space="preserve"> </w:t>
      </w:r>
      <w:r w:rsidRPr="002C75D5">
        <w:rPr>
          <w:rFonts w:eastAsiaTheme="minorEastAsia" w:cs="Arial"/>
        </w:rPr>
        <w:t xml:space="preserve">and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Δ</m:t>
        </m:r>
        <m:r>
          <w:rPr>
            <w:rFonts w:ascii="Cambria Math" w:eastAsiaTheme="minorEastAsia" w:hAnsi="Cambria Math" w:cs="Arial"/>
          </w:rPr>
          <m:t>f</m:t>
        </m:r>
      </m:oMath>
      <w:r>
        <w:rPr>
          <w:rFonts w:eastAsiaTheme="minorEastAsia" w:cs="Arial"/>
        </w:rPr>
        <w:t xml:space="preserve"> </w:t>
      </w:r>
      <w:r w:rsidRPr="002C75D5">
        <w:rPr>
          <w:rFonts w:eastAsiaTheme="minorEastAsia" w:cs="Arial"/>
        </w:rPr>
        <w:t>is the PRACH subcarrier spacing</w:t>
      </w:r>
      <w:r>
        <w:rPr>
          <w:rFonts w:eastAsiaTheme="minorEastAsia" w:cs="Arial"/>
        </w:rPr>
        <w:t xml:space="preserve">, will result in a </w:t>
      </w:r>
      <w:r w:rsidRPr="00B1528D">
        <w:rPr>
          <w:rFonts w:eastAsiaTheme="minorEastAsia" w:cs="Arial"/>
          <w:i/>
        </w:rPr>
        <w:t>single</w:t>
      </w:r>
      <w:r>
        <w:rPr>
          <w:rFonts w:eastAsiaTheme="minorEastAsia" w:cs="Arial"/>
        </w:rPr>
        <w:t xml:space="preserve"> peak in a certain position in the matched filter output. For frequencies other than multiples of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Δ</m:t>
        </m:r>
        <m:r>
          <w:rPr>
            <w:rFonts w:ascii="Cambria Math" w:eastAsiaTheme="minorEastAsia" w:hAnsi="Cambria Math" w:cs="Arial"/>
          </w:rPr>
          <m:t>f</m:t>
        </m:r>
      </m:oMath>
      <w:r>
        <w:rPr>
          <w:rFonts w:eastAsiaTheme="minorEastAsia" w:cs="Arial"/>
        </w:rPr>
        <w:t xml:space="preserve"> more than one peak may appear. A</w:t>
      </w:r>
      <w:r>
        <w:rPr>
          <w:rFonts w:cs="Arial"/>
        </w:rPr>
        <w:t xml:space="preserve"> peak in a position</w:t>
      </w:r>
      <w:r>
        <w:rPr>
          <w:rFonts w:eastAsiaTheme="minorEastAsia" w:cs="Arial"/>
        </w:rPr>
        <w:t xml:space="preserve"> corresponding to </w:t>
      </w:r>
      <m:oMath>
        <m:r>
          <w:rPr>
            <w:rFonts w:ascii="Cambria Math" w:hAnsi="Cambria Math" w:cs="Arial"/>
          </w:rPr>
          <m:t>k</m:t>
        </m:r>
        <m:r>
          <m:rPr>
            <m:sty m:val="p"/>
          </m:rPr>
          <w:rPr>
            <w:rFonts w:ascii="Cambria Math" w:hAnsi="Cambria Math" w:cs="Arial"/>
          </w:rPr>
          <m:t>Δ</m:t>
        </m:r>
        <m:r>
          <w:rPr>
            <w:rFonts w:ascii="Cambria Math" w:hAnsi="Cambria Math" w:cs="Arial"/>
          </w:rPr>
          <m:t>f</m:t>
        </m:r>
      </m:oMath>
      <w:r w:rsidRPr="002C75D5">
        <w:rPr>
          <w:rFonts w:cs="Arial"/>
        </w:rPr>
        <w:t xml:space="preserve"> can </w:t>
      </w:r>
      <w:r>
        <w:rPr>
          <w:rFonts w:cs="Arial"/>
        </w:rPr>
        <w:t xml:space="preserve">in fact </w:t>
      </w:r>
      <w:r w:rsidRPr="002C75D5">
        <w:rPr>
          <w:rFonts w:cs="Arial"/>
        </w:rPr>
        <w:t xml:space="preserve">be due to a preamble received with frequency offset </w:t>
      </w:r>
    </w:p>
    <w:p w:rsidR="00AE17FD" w:rsidRPr="002C75D5" w:rsidRDefault="00AB6860" w:rsidP="002B21F6">
      <w:pPr>
        <w:jc w:val="center"/>
        <w:rPr>
          <w:rFonts w:eastAsiaTheme="minorEastAsia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f</m:t>
              </m:r>
            </m:e>
            <m:sub>
              <m:r>
                <w:rPr>
                  <w:rFonts w:ascii="Cambria Math" w:hAnsi="Cambria Math" w:cs="Arial"/>
                </w:rPr>
                <m:t>d</m:t>
              </m:r>
            </m:sub>
          </m:sSub>
          <m:r>
            <w:rPr>
              <w:rFonts w:ascii="Cambria Math" w:hAnsi="Cambria Math" w:cs="Arial"/>
            </w:rPr>
            <m:t>=(k+h)</m:t>
          </m:r>
          <m:r>
            <m:rPr>
              <m:sty m:val="p"/>
            </m:rPr>
            <w:rPr>
              <w:rFonts w:ascii="Cambria Math" w:hAnsi="Cambria Math" w:cs="Arial"/>
            </w:rPr>
            <m:t>Δ</m:t>
          </m:r>
          <m:r>
            <w:rPr>
              <w:rFonts w:ascii="Cambria Math" w:hAnsi="Cambria Math" w:cs="Arial"/>
            </w:rPr>
            <m:t>f</m:t>
          </m:r>
        </m:oMath>
      </m:oMathPara>
    </w:p>
    <w:p w:rsidR="00AE17FD" w:rsidRDefault="00AE17FD" w:rsidP="00AE17FD">
      <w:pPr>
        <w:rPr>
          <w:rFonts w:eastAsiaTheme="minorEastAsia" w:cs="Arial"/>
        </w:rPr>
      </w:pPr>
      <w:proofErr w:type="gramStart"/>
      <w:r w:rsidRPr="002C75D5">
        <w:rPr>
          <w:rFonts w:eastAsiaTheme="minorEastAsia" w:cs="Arial"/>
        </w:rPr>
        <w:t>where</w:t>
      </w:r>
      <w:proofErr w:type="gramEnd"/>
      <w:r w:rsidRPr="002C75D5">
        <w:rPr>
          <w:rFonts w:eastAsiaTheme="minorEastAsia" w:cs="Arial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h</m:t>
            </m:r>
          </m:e>
        </m:d>
        <m:r>
          <w:rPr>
            <w:rFonts w:ascii="Cambria Math" w:eastAsiaTheme="minorEastAsia" w:hAnsi="Cambria Math" w:cs="Arial"/>
          </w:rPr>
          <m:t>&lt;</m:t>
        </m:r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w:rPr>
                <w:rFonts w:ascii="Cambria Math" w:eastAsiaTheme="minorEastAsia" w:hAnsi="Cambria Math" w:cs="Arial"/>
              </w:rPr>
              <m:t>a</m:t>
            </m:r>
          </m:sub>
        </m:sSub>
      </m:oMath>
      <w:r>
        <w:rPr>
          <w:rFonts w:eastAsiaTheme="minorEastAsia" w:cs="Arial"/>
        </w:rPr>
        <w:t xml:space="preserve">  and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w:rPr>
                <w:rFonts w:ascii="Cambria Math" w:eastAsiaTheme="minorEastAsia" w:hAnsi="Cambria Math" w:cs="Arial"/>
              </w:rPr>
              <m:t>a</m:t>
            </m:r>
          </m:sub>
        </m:sSub>
      </m:oMath>
      <w:r>
        <w:rPr>
          <w:rFonts w:eastAsiaTheme="minorEastAsia" w:cs="Arial"/>
        </w:rPr>
        <w:t xml:space="preserve"> depends on the signal-to-noise ratio. </w:t>
      </w:r>
    </w:p>
    <w:p w:rsidR="00AE17FD" w:rsidRDefault="00AE17FD" w:rsidP="00AE17FD">
      <w:pPr>
        <w:rPr>
          <w:rFonts w:eastAsiaTheme="minorEastAsia" w:cs="Arial"/>
        </w:rPr>
      </w:pPr>
      <w:r>
        <w:rPr>
          <w:rFonts w:eastAsiaTheme="minorEastAsia" w:cs="Arial"/>
        </w:rPr>
        <w:t xml:space="preserve">The more the frequency offset differs </w:t>
      </w:r>
      <w:proofErr w:type="gramStart"/>
      <w:r>
        <w:rPr>
          <w:rFonts w:eastAsiaTheme="minorEastAsia" w:cs="Arial"/>
        </w:rPr>
        <w:t xml:space="preserve">from </w:t>
      </w:r>
      <w:proofErr w:type="gramEnd"/>
      <m:oMath>
        <m:r>
          <w:rPr>
            <w:rFonts w:ascii="Cambria Math" w:eastAsiaTheme="minorEastAsia" w:hAnsi="Cambria Math" w:cs="Arial"/>
          </w:rPr>
          <m:t>k</m:t>
        </m:r>
        <m:r>
          <m:rPr>
            <m:sty m:val="p"/>
          </m:rPr>
          <w:rPr>
            <w:rFonts w:ascii="Cambria Math" w:eastAsiaTheme="minorEastAsia" w:hAnsi="Cambria Math" w:cs="Arial"/>
          </w:rPr>
          <m:t>Δ</m:t>
        </m:r>
        <m:r>
          <w:rPr>
            <w:rFonts w:ascii="Cambria Math" w:eastAsiaTheme="minorEastAsia" w:hAnsi="Cambria Math" w:cs="Arial"/>
          </w:rPr>
          <m:t>f</m:t>
        </m:r>
      </m:oMath>
      <w:r>
        <w:rPr>
          <w:rFonts w:eastAsiaTheme="minorEastAsia" w:cs="Arial"/>
        </w:rPr>
        <w:t xml:space="preserve">, the weaker will the peak be. A reasonable value of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w:rPr>
                <w:rFonts w:ascii="Cambria Math" w:eastAsiaTheme="minorEastAsia" w:hAnsi="Cambria Math" w:cs="Arial"/>
              </w:rPr>
              <m:t>a</m:t>
            </m:r>
          </m:sub>
        </m:sSub>
      </m:oMath>
      <w:r>
        <w:rPr>
          <w:rFonts w:eastAsiaTheme="minorEastAsia" w:cs="Arial"/>
        </w:rPr>
        <w:t xml:space="preserve"> for detection is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w:rPr>
                <w:rFonts w:ascii="Cambria Math" w:eastAsiaTheme="minorEastAsia" w:hAnsi="Cambria Math" w:cs="Arial"/>
              </w:rPr>
              <m:t>a</m:t>
            </m:r>
          </m:sub>
        </m:sSub>
        <m:r>
          <w:rPr>
            <w:rFonts w:ascii="Cambria Math" w:eastAsiaTheme="minorEastAsia" w:hAnsi="Cambria Math" w:cs="Arial"/>
          </w:rPr>
          <m:t>=0.6</m:t>
        </m:r>
      </m:oMath>
      <w:r>
        <w:rPr>
          <w:rFonts w:eastAsiaTheme="minorEastAsia" w:cs="Arial"/>
        </w:rPr>
        <w:t xml:space="preserve"> corresponding to a power of 6 dB less than that </w:t>
      </w:r>
      <w:proofErr w:type="gramStart"/>
      <w:r>
        <w:rPr>
          <w:rFonts w:eastAsiaTheme="minorEastAsia" w:cs="Arial"/>
        </w:rPr>
        <w:t xml:space="preserve">at </w:t>
      </w:r>
      <w:proofErr w:type="gramEnd"/>
      <m:oMath>
        <m:r>
          <w:rPr>
            <w:rFonts w:ascii="Cambria Math" w:eastAsiaTheme="minorEastAsia" w:hAnsi="Cambria Math" w:cs="Arial"/>
          </w:rPr>
          <m:t>h=0</m:t>
        </m:r>
      </m:oMath>
      <w:r>
        <w:rPr>
          <w:rFonts w:eastAsiaTheme="minorEastAsia" w:cs="Arial"/>
        </w:rPr>
        <w:t>.</w:t>
      </w:r>
    </w:p>
    <w:p w:rsidR="00AE17FD" w:rsidRPr="002C75D5" w:rsidRDefault="00AE17FD" w:rsidP="00AE17FD">
      <w:pPr>
        <w:rPr>
          <w:rFonts w:eastAsiaTheme="minorEastAsia" w:cs="Arial"/>
        </w:rPr>
      </w:pPr>
      <w:r>
        <w:rPr>
          <w:rFonts w:eastAsiaTheme="minorEastAsia" w:cs="Arial"/>
        </w:rPr>
        <w:t>For the preamble formats 0 to 3</w:t>
      </w:r>
      <w:proofErr w:type="gramStart"/>
      <w:r>
        <w:rPr>
          <w:rFonts w:eastAsiaTheme="minorEastAsia" w:cs="Arial"/>
        </w:rPr>
        <w:t xml:space="preserve">, </w:t>
      </w:r>
      <w:proofErr w:type="gramEnd"/>
      <m:oMath>
        <m:r>
          <m:rPr>
            <m:sty m:val="p"/>
          </m:rPr>
          <w:rPr>
            <w:rFonts w:ascii="Cambria Math" w:eastAsiaTheme="minorEastAsia" w:hAnsi="Cambria Math" w:cs="Arial"/>
          </w:rPr>
          <m:t>Δ</m:t>
        </m:r>
        <m:r>
          <w:rPr>
            <w:rFonts w:ascii="Cambria Math" w:eastAsiaTheme="minorEastAsia" w:hAnsi="Cambria Math" w:cs="Arial"/>
          </w:rPr>
          <m:t xml:space="preserve">f =1250 </m:t>
        </m:r>
        <m:r>
          <m:rPr>
            <m:sty m:val="p"/>
          </m:rPr>
          <w:rPr>
            <w:rFonts w:ascii="Cambria Math" w:eastAsiaTheme="minorEastAsia" w:hAnsi="Cambria Math" w:cs="Arial"/>
          </w:rPr>
          <m:t>Hz</m:t>
        </m:r>
      </m:oMath>
      <w:r>
        <w:rPr>
          <w:rFonts w:eastAsiaTheme="minorEastAsia" w:cs="Arial"/>
        </w:rPr>
        <w:t>.</w:t>
      </w:r>
    </w:p>
    <w:p w:rsidR="00AE17FD" w:rsidRDefault="00AE17FD" w:rsidP="00AE17FD">
      <w:pPr>
        <w:rPr>
          <w:rFonts w:eastAsiaTheme="minorEastAsia"/>
        </w:rPr>
      </w:pPr>
      <w:r>
        <w:t xml:space="preserve">The sets of cyclic shifts of the root sequence for preamble generation are devised to support a single hypothesis on </w:t>
      </w:r>
      <m:oMath>
        <m:r>
          <w:rPr>
            <w:rFonts w:ascii="Cambria Math" w:hAnsi="Cambria Math" w:cs="Arial"/>
          </w:rPr>
          <m:t>k</m:t>
        </m:r>
      </m:oMath>
      <w:r>
        <w:t xml:space="preserve"> for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≤n.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The</w:t>
      </w:r>
      <w:proofErr w:type="gramEnd"/>
      <w:r>
        <w:rPr>
          <w:rFonts w:eastAsiaTheme="minorEastAsia"/>
        </w:rPr>
        <w:t xml:space="preserve"> maximum value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>
        <w:rPr>
          <w:rFonts w:eastAsiaTheme="minorEastAsia"/>
        </w:rPr>
        <w:t xml:space="preserve"> that can be uniquely detected with a single hypothesis is then given by </w:t>
      </w:r>
    </w:p>
    <w:p w:rsidR="00AE17FD" w:rsidRPr="00F90D68" w:rsidRDefault="00AB6860" w:rsidP="00AE17FD">
      <w:pPr>
        <w:rPr>
          <w:rFonts w:eastAsiaTheme="minorEastAsia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e>
          </m:d>
          <m:r>
            <w:rPr>
              <w:rFonts w:ascii="Cambria Math" w:hAnsi="Cambria Math"/>
            </w:rPr>
            <m:t>&lt;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f</m:t>
          </m:r>
        </m:oMath>
      </m:oMathPara>
    </w:p>
    <w:p w:rsidR="00AE17FD" w:rsidRDefault="00AE17FD" w:rsidP="00AE17FD">
      <w:pPr>
        <w:rPr>
          <w:rFonts w:eastAsiaTheme="minorEastAsia"/>
        </w:rPr>
      </w:pPr>
      <w:proofErr w:type="gramStart"/>
      <w:r>
        <w:rPr>
          <w:rFonts w:eastAsiaTheme="minorEastAsia"/>
        </w:rPr>
        <w:t>whereas</w:t>
      </w:r>
      <w:proofErr w:type="gramEnd"/>
      <w:r>
        <w:rPr>
          <w:rFonts w:eastAsiaTheme="minorEastAsia"/>
        </w:rPr>
        <w:t xml:space="preserve"> two additional hypotheses corresponding to </w:t>
      </w:r>
      <m:oMath>
        <m:r>
          <w:rPr>
            <w:rFonts w:ascii="Cambria Math" w:eastAsiaTheme="minorEastAsia" w:hAnsi="Cambria Math"/>
          </w:rPr>
          <m:t>k=±(n+1)</m:t>
        </m:r>
      </m:oMath>
      <w:r>
        <w:rPr>
          <w:rFonts w:eastAsiaTheme="minorEastAsia"/>
        </w:rPr>
        <w:t xml:space="preserve"> extends the maximum supported value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>
        <w:rPr>
          <w:rFonts w:eastAsiaTheme="minorEastAsia"/>
        </w:rPr>
        <w:t xml:space="preserve"> to values such that </w:t>
      </w:r>
    </w:p>
    <w:p w:rsidR="00AE17FD" w:rsidRPr="00F90D68" w:rsidRDefault="00AE17FD" w:rsidP="00AE17FD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  <m:r>
          <w:rPr>
            <w:rFonts w:ascii="Cambria Math" w:hAnsi="Cambria Math"/>
          </w:rPr>
          <m:t>&lt;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n+1+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>.</w:t>
      </w:r>
    </w:p>
    <w:p w:rsidR="00AE17FD" w:rsidRPr="005A2B41" w:rsidRDefault="00AE17FD" w:rsidP="00AE17FD">
      <w:pPr>
        <w:rPr>
          <w:rFonts w:eastAsiaTheme="minorEastAsia"/>
        </w:rPr>
      </w:pPr>
      <w:r>
        <w:rPr>
          <w:rFonts w:eastAsiaTheme="minorEastAsia"/>
        </w:rPr>
        <w:t xml:space="preserve">The table below shows the maximum frequency offsets that can be supported for different sets of cyclic shifts </w:t>
      </w:r>
      <w:proofErr w:type="gramStart"/>
      <w:r>
        <w:rPr>
          <w:rFonts w:eastAsiaTheme="minorEastAsia"/>
        </w:rPr>
        <w:t xml:space="preserve">assuming </w:t>
      </w:r>
      <w:proofErr w:type="gramEnd"/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w:rPr>
                <w:rFonts w:ascii="Cambria Math" w:eastAsiaTheme="minorEastAsia" w:hAnsi="Cambria Math" w:cs="Arial"/>
              </w:rPr>
              <m:t>a</m:t>
            </m:r>
          </m:sub>
        </m:sSub>
        <m:r>
          <w:rPr>
            <w:rFonts w:ascii="Cambria Math" w:eastAsiaTheme="minorEastAsia" w:hAnsi="Cambria Math" w:cs="Arial"/>
          </w:rPr>
          <m:t>=0.6</m:t>
        </m:r>
      </m:oMath>
      <w:r>
        <w:rPr>
          <w:rFonts w:eastAsiaTheme="minorEastAsia"/>
        </w:rPr>
        <w:t>.</w:t>
      </w:r>
    </w:p>
    <w:p w:rsidR="00F43F8E" w:rsidRDefault="00F43F8E" w:rsidP="00F43F8E">
      <w:pPr>
        <w:pStyle w:val="Heading2"/>
      </w:pPr>
      <w:r>
        <w:t>2.2 Analysis</w:t>
      </w:r>
    </w:p>
    <w:p w:rsidR="001B798A" w:rsidRDefault="00AE17FD" w:rsidP="00A522D3">
      <w:pPr>
        <w:rPr>
          <w:rFonts w:eastAsia="Times New Roman"/>
        </w:rPr>
      </w:pPr>
      <w:r>
        <w:rPr>
          <w:rFonts w:eastAsia="Times New Roman"/>
        </w:rPr>
        <w:t>Table 1</w:t>
      </w:r>
      <w:r w:rsidR="00A522D3">
        <w:rPr>
          <w:rFonts w:eastAsia="Times New Roman"/>
        </w:rPr>
        <w:t xml:space="preserve"> compares the existing regular PRACH (unrestricted) with the existing restricted set from current specification (</w:t>
      </w:r>
      <w:r w:rsidR="00A522D3" w:rsidRPr="00A522D3">
        <w:rPr>
          <w:rFonts w:eastAsia="Times New Roman"/>
        </w:rPr>
        <w:t>Restricted (Rel-8)</w:t>
      </w:r>
      <w:r w:rsidR="00A522D3">
        <w:rPr>
          <w:rFonts w:eastAsia="Times New Roman"/>
        </w:rPr>
        <w:t xml:space="preserve">) with the proposal in the LS </w:t>
      </w:r>
      <w:r w:rsidR="009C6BDC">
        <w:rPr>
          <w:rFonts w:eastAsia="Times New Roman"/>
        </w:rPr>
        <w:t xml:space="preserve">from </w:t>
      </w:r>
      <w:r w:rsidR="009C6BDC">
        <w:rPr>
          <w:rFonts w:eastAsia="Times New Roman"/>
        </w:rPr>
        <w:fldChar w:fldCharType="begin"/>
      </w:r>
      <w:r w:rsidR="009C6BDC">
        <w:rPr>
          <w:rFonts w:eastAsia="Times New Roman"/>
        </w:rPr>
        <w:instrText xml:space="preserve"> REF _Ref447018578 \r \h </w:instrText>
      </w:r>
      <w:r w:rsidR="009C6BDC">
        <w:rPr>
          <w:rFonts w:eastAsia="Times New Roman"/>
        </w:rPr>
      </w:r>
      <w:r w:rsidR="009C6BDC">
        <w:rPr>
          <w:rFonts w:eastAsia="Times New Roman"/>
        </w:rPr>
        <w:fldChar w:fldCharType="separate"/>
      </w:r>
      <w:r w:rsidR="002B21F6">
        <w:rPr>
          <w:rFonts w:eastAsia="Times New Roman"/>
        </w:rPr>
        <w:t>[2]</w:t>
      </w:r>
      <w:r w:rsidR="009C6BDC">
        <w:rPr>
          <w:rFonts w:eastAsia="Times New Roman"/>
        </w:rPr>
        <w:fldChar w:fldCharType="end"/>
      </w:r>
      <w:r w:rsidR="009C6BDC">
        <w:rPr>
          <w:rFonts w:eastAsia="Times New Roman"/>
        </w:rPr>
        <w:t xml:space="preserve">. The proposal in </w:t>
      </w:r>
      <w:r w:rsidR="009C6BDC">
        <w:rPr>
          <w:rFonts w:eastAsia="Times New Roman"/>
        </w:rPr>
        <w:fldChar w:fldCharType="begin"/>
      </w:r>
      <w:r w:rsidR="009C6BDC">
        <w:rPr>
          <w:rFonts w:eastAsia="Times New Roman"/>
        </w:rPr>
        <w:instrText xml:space="preserve"> REF _Ref447018597 \r \h </w:instrText>
      </w:r>
      <w:r w:rsidR="009C6BDC">
        <w:rPr>
          <w:rFonts w:eastAsia="Times New Roman"/>
        </w:rPr>
      </w:r>
      <w:r w:rsidR="009C6BDC">
        <w:rPr>
          <w:rFonts w:eastAsia="Times New Roman"/>
        </w:rPr>
        <w:fldChar w:fldCharType="separate"/>
      </w:r>
      <w:r w:rsidR="002B21F6">
        <w:rPr>
          <w:rFonts w:eastAsia="Times New Roman"/>
        </w:rPr>
        <w:t>[3]</w:t>
      </w:r>
      <w:r w:rsidR="009C6BDC">
        <w:rPr>
          <w:rFonts w:eastAsia="Times New Roman"/>
        </w:rPr>
        <w:fldChar w:fldCharType="end"/>
      </w:r>
      <w:r w:rsidR="009C6BDC">
        <w:rPr>
          <w:rFonts w:eastAsia="Times New Roman"/>
        </w:rPr>
        <w:t xml:space="preserve"> we </w:t>
      </w:r>
      <w:r w:rsidR="009C6BDC">
        <w:rPr>
          <w:rFonts w:eastAsia="Times New Roman"/>
        </w:rPr>
        <w:lastRenderedPageBreak/>
        <w:t xml:space="preserve">were not able to analysis due to that it was unclear which root sequences to apply. So further details of </w:t>
      </w:r>
      <w:r w:rsidR="009C6BDC">
        <w:rPr>
          <w:rFonts w:eastAsia="Times New Roman"/>
        </w:rPr>
        <w:fldChar w:fldCharType="begin"/>
      </w:r>
      <w:r w:rsidR="009C6BDC">
        <w:rPr>
          <w:rFonts w:eastAsia="Times New Roman"/>
        </w:rPr>
        <w:instrText xml:space="preserve"> REF _Ref447018597 \r \h </w:instrText>
      </w:r>
      <w:r w:rsidR="009C6BDC">
        <w:rPr>
          <w:rFonts w:eastAsia="Times New Roman"/>
        </w:rPr>
      </w:r>
      <w:r w:rsidR="009C6BDC">
        <w:rPr>
          <w:rFonts w:eastAsia="Times New Roman"/>
        </w:rPr>
        <w:fldChar w:fldCharType="separate"/>
      </w:r>
      <w:r w:rsidR="002B21F6">
        <w:rPr>
          <w:rFonts w:eastAsia="Times New Roman"/>
        </w:rPr>
        <w:t>[3]</w:t>
      </w:r>
      <w:r w:rsidR="009C6BDC">
        <w:rPr>
          <w:rFonts w:eastAsia="Times New Roman"/>
        </w:rPr>
        <w:fldChar w:fldCharType="end"/>
      </w:r>
      <w:r w:rsidR="009C6BDC">
        <w:rPr>
          <w:rFonts w:eastAsia="Times New Roman"/>
        </w:rPr>
        <w:t xml:space="preserve"> needs to be provided by RAN4 before an analysis can take place.</w:t>
      </w:r>
    </w:p>
    <w:p w:rsidR="00A522D3" w:rsidRDefault="001B798A" w:rsidP="00A522D3">
      <w:pPr>
        <w:rPr>
          <w:rFonts w:eastAsia="Times New Roman"/>
        </w:rPr>
      </w:pPr>
      <w:r>
        <w:rPr>
          <w:rFonts w:eastAsia="Times New Roman"/>
        </w:rPr>
        <w:t>The “</w:t>
      </w:r>
      <w:r w:rsidRPr="001B798A">
        <w:rPr>
          <w:rFonts w:eastAsia="Times New Roman"/>
        </w:rPr>
        <w:t>Maximum supported frequency offset for single hypothesis</w:t>
      </w:r>
      <w:r>
        <w:rPr>
          <w:rFonts w:eastAsia="Times New Roman"/>
        </w:rPr>
        <w:t xml:space="preserve">” column show the maximum Doppler frequency </w:t>
      </w:r>
      <w:r w:rsidRPr="001B798A">
        <w:rPr>
          <w:rFonts w:eastAsia="Times New Roman"/>
        </w:rPr>
        <w:t xml:space="preserve">that can be uniquely detected with a single hypothesis </w:t>
      </w:r>
      <w:r>
        <w:rPr>
          <w:rFonts w:eastAsia="Times New Roman"/>
        </w:rPr>
        <w:t>as discussed above.</w:t>
      </w:r>
    </w:p>
    <w:p w:rsidR="001B798A" w:rsidRPr="00A522D3" w:rsidRDefault="001B798A" w:rsidP="00A522D3">
      <w:pPr>
        <w:rPr>
          <w:lang w:val="en-US" w:eastAsia="en-US"/>
        </w:rPr>
      </w:pPr>
      <w:r>
        <w:rPr>
          <w:rFonts w:eastAsia="Times New Roman"/>
        </w:rPr>
        <w:t>The “</w:t>
      </w:r>
      <w:r w:rsidRPr="001B798A">
        <w:rPr>
          <w:rFonts w:eastAsia="Times New Roman"/>
        </w:rPr>
        <w:t>Maximum supported frequency offset for three hypotheses</w:t>
      </w:r>
      <w:r>
        <w:rPr>
          <w:rFonts w:eastAsia="Times New Roman"/>
        </w:rPr>
        <w:t xml:space="preserve">” column show the maximum Doppler frequency when </w:t>
      </w:r>
      <w:r w:rsidRPr="001B798A">
        <w:rPr>
          <w:rFonts w:eastAsia="Times New Roman"/>
        </w:rPr>
        <w:t>two addition</w:t>
      </w:r>
      <w:r>
        <w:rPr>
          <w:rFonts w:eastAsia="Times New Roman"/>
        </w:rPr>
        <w:t xml:space="preserve">al hypotheses corresponding </w:t>
      </w:r>
      <w:proofErr w:type="gramStart"/>
      <w:r>
        <w:rPr>
          <w:rFonts w:eastAsia="Times New Roman"/>
        </w:rPr>
        <w:t xml:space="preserve">to </w:t>
      </w:r>
      <w:proofErr w:type="gramEnd"/>
      <m:oMath>
        <m:r>
          <w:rPr>
            <w:rFonts w:ascii="Cambria Math" w:eastAsia="Times New Roman" w:hAnsi="Cambria Math"/>
          </w:rPr>
          <m:t>k=±(n+1)</m:t>
        </m:r>
      </m:oMath>
      <w:r w:rsidR="009C6BDC">
        <w:rPr>
          <w:rFonts w:eastAsia="Times New Roman"/>
        </w:rPr>
        <w:t>.</w:t>
      </w:r>
      <w:r w:rsidR="009C6BDC">
        <w:rPr>
          <w:position w:val="-6"/>
        </w:rPr>
        <w:t xml:space="preserve"> </w:t>
      </w:r>
      <w:r w:rsidR="009C6BDC">
        <w:rPr>
          <w:rFonts w:eastAsia="Times New Roman"/>
        </w:rPr>
        <w:t>E</w:t>
      </w:r>
      <w:r w:rsidRPr="001B798A">
        <w:rPr>
          <w:rFonts w:eastAsia="Times New Roman"/>
        </w:rPr>
        <w:t xml:space="preserve">xtends the maximum supported value </w:t>
      </w:r>
      <w:proofErr w:type="gramStart"/>
      <w:r w:rsidRPr="001B798A">
        <w:rPr>
          <w:rFonts w:eastAsia="Times New Roman"/>
        </w:rPr>
        <w:t xml:space="preserve">of </w:t>
      </w:r>
      <w:proofErr w:type="gramEnd"/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d</m:t>
            </m:r>
          </m:sub>
        </m:sSub>
      </m:oMath>
      <w:r w:rsidR="009C6BDC">
        <w:rPr>
          <w:rFonts w:eastAsia="Times New Roman"/>
        </w:rPr>
        <w:t>.</w:t>
      </w:r>
      <w:r w:rsidR="00F43F8E">
        <w:rPr>
          <w:rFonts w:eastAsia="Times New Roman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1474"/>
        <w:gridCol w:w="2125"/>
        <w:gridCol w:w="2025"/>
      </w:tblGrid>
      <w:tr w:rsidR="000430D0" w:rsidTr="0053671A">
        <w:tc>
          <w:tcPr>
            <w:tcW w:w="2138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Set of cyclic shifts</w:t>
            </w:r>
          </w:p>
        </w:tc>
        <w:tc>
          <w:tcPr>
            <w:tcW w:w="1474" w:type="dxa"/>
            <w:shd w:val="clear" w:color="auto" w:fill="auto"/>
          </w:tcPr>
          <w:p w:rsidR="000430D0" w:rsidRPr="00CA1334" w:rsidRDefault="00CA1334" w:rsidP="00D909E3">
            <w:pPr>
              <w:rPr>
                <w:rFonts w:ascii="Calibri" w:hAnsi="Calibri"/>
                <w:szCs w:val="22"/>
              </w:rPr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</w:tc>
        <w:tc>
          <w:tcPr>
            <w:tcW w:w="2125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eastAsia="Calibri" w:hAnsi="Calibri" w:cs="Arial"/>
                <w:szCs w:val="22"/>
              </w:rPr>
            </w:pPr>
            <w:r w:rsidRPr="00D909E3">
              <w:rPr>
                <w:rFonts w:ascii="Calibri" w:eastAsia="Calibri" w:hAnsi="Calibri" w:cs="Arial"/>
                <w:szCs w:val="22"/>
              </w:rPr>
              <w:t>Maximum  supported frequency offset for single hypothesis (Hz)</w:t>
            </w:r>
          </w:p>
        </w:tc>
        <w:tc>
          <w:tcPr>
            <w:tcW w:w="2025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eastAsia="Calibri" w:hAnsi="Calibri" w:cs="Arial"/>
                <w:szCs w:val="22"/>
              </w:rPr>
            </w:pPr>
            <w:r w:rsidRPr="00D909E3">
              <w:rPr>
                <w:rFonts w:ascii="Calibri" w:eastAsia="Calibri" w:hAnsi="Calibri" w:cs="Arial"/>
                <w:szCs w:val="22"/>
              </w:rPr>
              <w:t>Maximum supported frequency offset for three hypotheses (Hz)</w:t>
            </w:r>
          </w:p>
        </w:tc>
      </w:tr>
      <w:tr w:rsidR="000430D0" w:rsidTr="0053671A">
        <w:tc>
          <w:tcPr>
            <w:tcW w:w="2138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Unrestricted</w:t>
            </w:r>
            <w:r w:rsidR="009C6BDC">
              <w:rPr>
                <w:rFonts w:ascii="Calibri" w:hAnsi="Calibri"/>
                <w:szCs w:val="22"/>
              </w:rPr>
              <w:t xml:space="preserve"> set</w:t>
            </w:r>
          </w:p>
        </w:tc>
        <w:tc>
          <w:tcPr>
            <w:tcW w:w="1474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0</w:t>
            </w:r>
          </w:p>
        </w:tc>
        <w:tc>
          <w:tcPr>
            <w:tcW w:w="21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750 (150 km/h)</w:t>
            </w:r>
          </w:p>
        </w:tc>
        <w:tc>
          <w:tcPr>
            <w:tcW w:w="20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2000 (400 km/h)</w:t>
            </w:r>
          </w:p>
        </w:tc>
      </w:tr>
      <w:tr w:rsidR="000430D0" w:rsidTr="0053671A">
        <w:tc>
          <w:tcPr>
            <w:tcW w:w="2138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 xml:space="preserve">Restricted </w:t>
            </w:r>
            <w:r w:rsidR="009C6BDC">
              <w:rPr>
                <w:rFonts w:ascii="Calibri" w:hAnsi="Calibri"/>
                <w:szCs w:val="22"/>
              </w:rPr>
              <w:t xml:space="preserve">set </w:t>
            </w:r>
            <w:r w:rsidRPr="00D909E3">
              <w:rPr>
                <w:rFonts w:ascii="Calibri" w:hAnsi="Calibri"/>
                <w:szCs w:val="22"/>
              </w:rPr>
              <w:t>(Rel-8)</w:t>
            </w:r>
          </w:p>
        </w:tc>
        <w:tc>
          <w:tcPr>
            <w:tcW w:w="1474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1</w:t>
            </w:r>
          </w:p>
        </w:tc>
        <w:tc>
          <w:tcPr>
            <w:tcW w:w="21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2000 (400 km/h)</w:t>
            </w:r>
          </w:p>
        </w:tc>
        <w:tc>
          <w:tcPr>
            <w:tcW w:w="20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3250 (650 km/h)</w:t>
            </w:r>
          </w:p>
        </w:tc>
      </w:tr>
      <w:tr w:rsidR="000430D0" w:rsidTr="0053671A">
        <w:tc>
          <w:tcPr>
            <w:tcW w:w="2138" w:type="dxa"/>
            <w:shd w:val="clear" w:color="auto" w:fill="auto"/>
          </w:tcPr>
          <w:p w:rsidR="000430D0" w:rsidRPr="00D909E3" w:rsidRDefault="000430D0" w:rsidP="00D909E3">
            <w:pPr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Restricted</w:t>
            </w:r>
            <w:r w:rsidR="009C6BDC">
              <w:rPr>
                <w:rFonts w:ascii="Calibri" w:hAnsi="Calibri"/>
                <w:szCs w:val="22"/>
              </w:rPr>
              <w:t xml:space="preserve"> set </w:t>
            </w:r>
            <w:r w:rsidR="009C6BDC">
              <w:rPr>
                <w:rFonts w:ascii="Calibri" w:hAnsi="Calibri"/>
                <w:szCs w:val="22"/>
              </w:rPr>
              <w:fldChar w:fldCharType="begin"/>
            </w:r>
            <w:r w:rsidR="009C6BDC">
              <w:rPr>
                <w:rFonts w:ascii="Calibri" w:hAnsi="Calibri"/>
                <w:szCs w:val="22"/>
              </w:rPr>
              <w:instrText xml:space="preserve"> REF _Ref447018578 \r \h </w:instrText>
            </w:r>
            <w:r w:rsidR="009C6BDC">
              <w:rPr>
                <w:rFonts w:ascii="Calibri" w:hAnsi="Calibri"/>
                <w:szCs w:val="22"/>
              </w:rPr>
            </w:r>
            <w:r w:rsidR="009C6BDC">
              <w:rPr>
                <w:rFonts w:ascii="Calibri" w:hAnsi="Calibri"/>
                <w:szCs w:val="22"/>
              </w:rPr>
              <w:fldChar w:fldCharType="separate"/>
            </w:r>
            <w:r w:rsidR="002B21F6">
              <w:rPr>
                <w:rFonts w:ascii="Calibri" w:hAnsi="Calibri"/>
                <w:szCs w:val="22"/>
              </w:rPr>
              <w:t>[2]</w:t>
            </w:r>
            <w:r w:rsidR="009C6BDC">
              <w:rPr>
                <w:rFonts w:ascii="Calibri" w:hAnsi="Calibri"/>
                <w:szCs w:val="22"/>
              </w:rPr>
              <w:fldChar w:fldCharType="end"/>
            </w:r>
          </w:p>
        </w:tc>
        <w:tc>
          <w:tcPr>
            <w:tcW w:w="1474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2</w:t>
            </w:r>
          </w:p>
        </w:tc>
        <w:tc>
          <w:tcPr>
            <w:tcW w:w="21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3250 (650 km/h)</w:t>
            </w:r>
          </w:p>
        </w:tc>
        <w:tc>
          <w:tcPr>
            <w:tcW w:w="2025" w:type="dxa"/>
            <w:shd w:val="clear" w:color="auto" w:fill="auto"/>
          </w:tcPr>
          <w:p w:rsidR="000430D0" w:rsidRPr="00D909E3" w:rsidRDefault="000430D0" w:rsidP="00D909E3">
            <w:pPr>
              <w:jc w:val="center"/>
              <w:rPr>
                <w:rFonts w:ascii="Calibri" w:hAnsi="Calibri"/>
                <w:szCs w:val="22"/>
              </w:rPr>
            </w:pPr>
            <w:r w:rsidRPr="00D909E3">
              <w:rPr>
                <w:rFonts w:ascii="Calibri" w:hAnsi="Calibri"/>
                <w:szCs w:val="22"/>
              </w:rPr>
              <w:t>4500 (900 km/h)</w:t>
            </w:r>
          </w:p>
        </w:tc>
      </w:tr>
    </w:tbl>
    <w:p w:rsidR="00213FC6" w:rsidRPr="00AE17FD" w:rsidRDefault="0053671A" w:rsidP="00A522D3">
      <w:pPr>
        <w:pStyle w:val="Caption"/>
      </w:pPr>
      <w:r>
        <w:br/>
      </w:r>
      <w:r w:rsidR="00A522D3">
        <w:t xml:space="preserve">Table </w:t>
      </w:r>
      <w:r w:rsidR="00A522D3">
        <w:fldChar w:fldCharType="begin"/>
      </w:r>
      <w:r w:rsidR="00A522D3">
        <w:instrText xml:space="preserve"> SEQ Table \* ARABIC </w:instrText>
      </w:r>
      <w:r w:rsidR="00A522D3">
        <w:fldChar w:fldCharType="separate"/>
      </w:r>
      <w:r w:rsidR="002B21F6">
        <w:rPr>
          <w:noProof/>
        </w:rPr>
        <w:t>1</w:t>
      </w:r>
      <w:r w:rsidR="00A522D3">
        <w:fldChar w:fldCharType="end"/>
      </w:r>
      <w:r w:rsidR="00AE17FD">
        <w:t>: Max BS Doppler (and corresponding speed assuming f</w:t>
      </w:r>
      <w:r w:rsidR="00AE17FD">
        <w:rPr>
          <w:vertAlign w:val="subscript"/>
        </w:rPr>
        <w:t>c</w:t>
      </w:r>
      <w:r w:rsidR="00AE17FD">
        <w:t xml:space="preserve"> = 2.7 GHz.</w:t>
      </w:r>
    </w:p>
    <w:p w:rsidR="00731419" w:rsidRDefault="0053671A" w:rsidP="003C681A">
      <w:r>
        <w:br/>
      </w:r>
      <w:r w:rsidR="003C681A">
        <w:t>The table shows that we can reach similar maximum Doppler, 3250 Hz, which corresponds to 650 km/h assuming</w:t>
      </w:r>
      <w:r w:rsidR="00731419">
        <w:t xml:space="preserve"> a carrier frequency of 2.7 GHz in two ways. </w:t>
      </w:r>
      <w:r w:rsidR="009C6BDC">
        <w:t xml:space="preserve">The reason for picking 2.7 GHz is that this is the highest current band defined for these types of deployments. </w:t>
      </w:r>
      <w:r w:rsidR="00A847FB">
        <w:t xml:space="preserve">There may however be some </w:t>
      </w:r>
      <w:r w:rsidR="009C6BDC">
        <w:t>need</w:t>
      </w:r>
      <w:r w:rsidR="00A847FB">
        <w:t xml:space="preserve"> considering future bands.</w:t>
      </w:r>
      <w:r w:rsidR="009C6BDC">
        <w:t xml:space="preserve"> </w:t>
      </w:r>
      <w:r w:rsidR="00731419">
        <w:t xml:space="preserve">The first option is to add </w:t>
      </w:r>
      <w:r w:rsidR="00731419" w:rsidRPr="00731419">
        <w:t>two additional hypothe</w:t>
      </w:r>
      <w:r w:rsidR="00731419">
        <w:t xml:space="preserve">ses to get three in total. This has the </w:t>
      </w:r>
      <w:r w:rsidR="00AE17FD">
        <w:t>advantage</w:t>
      </w:r>
      <w:r w:rsidR="00731419">
        <w:t xml:space="preserve"> of being backwards compatible. However the PRACH capacity will suffer due to the risk of the BS sending the </w:t>
      </w:r>
      <w:r w:rsidR="00AE17FD">
        <w:t>wrong</w:t>
      </w:r>
      <w:r w:rsidR="00731419">
        <w:t xml:space="preserve"> responses, even if this can be mitigated by grouping users as e</w:t>
      </w:r>
      <w:r w:rsidR="00D909E3">
        <w:t>x</w:t>
      </w:r>
      <w:r w:rsidR="00731419">
        <w:t xml:space="preserve">plained in </w:t>
      </w:r>
      <w:r w:rsidR="002B21F6">
        <w:fldChar w:fldCharType="begin"/>
      </w:r>
      <w:r w:rsidR="002B21F6">
        <w:instrText xml:space="preserve"> REF _Ref447177255 \r \h </w:instrText>
      </w:r>
      <w:r w:rsidR="002B21F6">
        <w:fldChar w:fldCharType="separate"/>
      </w:r>
      <w:r w:rsidR="002B21F6">
        <w:t>[4]</w:t>
      </w:r>
      <w:r w:rsidR="002B21F6">
        <w:fldChar w:fldCharType="end"/>
      </w:r>
      <w:r w:rsidR="00851946">
        <w:t>.</w:t>
      </w:r>
    </w:p>
    <w:p w:rsidR="00B8022D" w:rsidRDefault="00B8022D" w:rsidP="00D909E3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textAlignment w:val="auto"/>
        <w:rPr>
          <w:lang w:val="en-US"/>
        </w:rPr>
      </w:pPr>
      <w:r>
        <w:rPr>
          <w:lang w:val="en-US"/>
        </w:rPr>
        <w:t xml:space="preserve">3 </w:t>
      </w:r>
      <w:r w:rsidRPr="006A67A0">
        <w:rPr>
          <w:lang w:val="en-US"/>
        </w:rPr>
        <w:t>Conclusion</w:t>
      </w:r>
      <w:r w:rsidRPr="006A67A0">
        <w:rPr>
          <w:lang w:val="en-US"/>
        </w:rPr>
        <w:tab/>
      </w:r>
    </w:p>
    <w:p w:rsidR="00213FC6" w:rsidRDefault="00D909E3" w:rsidP="00213FC6">
      <w:pPr>
        <w:rPr>
          <w:lang w:val="en-US" w:eastAsia="en-US"/>
        </w:rPr>
      </w:pPr>
      <w:r w:rsidRPr="00D909E3">
        <w:rPr>
          <w:lang w:val="en-US" w:eastAsia="en-US"/>
        </w:rPr>
        <w:t xml:space="preserve">We </w:t>
      </w:r>
      <w:r w:rsidR="00AE17FD" w:rsidRPr="00D909E3">
        <w:rPr>
          <w:lang w:val="en-US" w:eastAsia="en-US"/>
        </w:rPr>
        <w:t>analyze</w:t>
      </w:r>
      <w:r w:rsidRPr="00D909E3">
        <w:rPr>
          <w:lang w:val="en-US" w:eastAsia="en-US"/>
        </w:rPr>
        <w:t xml:space="preserve"> the different options in the LS and compare with options available using current specification</w:t>
      </w:r>
      <w:r>
        <w:rPr>
          <w:lang w:val="en-US" w:eastAsia="en-US"/>
        </w:rPr>
        <w:t>.</w:t>
      </w:r>
    </w:p>
    <w:p w:rsidR="00D909E3" w:rsidRPr="00213FC6" w:rsidRDefault="00D909E3" w:rsidP="00213FC6">
      <w:pPr>
        <w:rPr>
          <w:lang w:val="en-US" w:eastAsia="en-US"/>
        </w:rPr>
      </w:pPr>
      <w:r>
        <w:t xml:space="preserve">The table shows that we can reach similar maximum Doppler, 3250 Hz, which corresponds to 650 km/h assuming a carrier frequency of 2.7 GHz in two ways. The first option is to add </w:t>
      </w:r>
      <w:r w:rsidRPr="00731419">
        <w:t>two additional hypothe</w:t>
      </w:r>
      <w:r>
        <w:t xml:space="preserve">ses to get three in total. This has the </w:t>
      </w:r>
      <w:r w:rsidR="00AE17FD">
        <w:t>advantage</w:t>
      </w:r>
      <w:r>
        <w:t xml:space="preserve"> of being backwards compatible. However the PRACH capacity will suffer due to the risk of the BS sending the </w:t>
      </w:r>
      <w:r w:rsidR="00AE17FD">
        <w:t>wrong</w:t>
      </w:r>
      <w:r>
        <w:t xml:space="preserve"> responses, even if this can be mitigated by grouping explained in </w:t>
      </w:r>
      <w:r w:rsidR="002B21F6">
        <w:fldChar w:fldCharType="begin"/>
      </w:r>
      <w:r w:rsidR="002B21F6">
        <w:instrText xml:space="preserve"> REF _Ref447177255 \r \h </w:instrText>
      </w:r>
      <w:r w:rsidR="002B21F6">
        <w:fldChar w:fldCharType="separate"/>
      </w:r>
      <w:r w:rsidR="002B21F6">
        <w:t>[4]</w:t>
      </w:r>
      <w:r w:rsidR="002B21F6">
        <w:fldChar w:fldCharType="end"/>
      </w:r>
      <w:r>
        <w:t>.</w:t>
      </w:r>
    </w:p>
    <w:p w:rsidR="00B8022D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4 </w:t>
      </w:r>
      <w:r w:rsidRPr="006A67A0">
        <w:rPr>
          <w:lang w:val="en-US"/>
        </w:rPr>
        <w:t>References</w:t>
      </w:r>
      <w:r w:rsidRPr="006A67A0">
        <w:rPr>
          <w:lang w:val="en-US"/>
        </w:rPr>
        <w:tab/>
      </w:r>
    </w:p>
    <w:p w:rsidR="00B8022D" w:rsidRDefault="000430D0" w:rsidP="000430D0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0430D0">
        <w:rPr>
          <w:sz w:val="20"/>
          <w:lang w:val="en-US" w:eastAsia="en-US"/>
        </w:rPr>
        <w:t>R4-161254</w:t>
      </w:r>
      <w:r>
        <w:rPr>
          <w:sz w:val="20"/>
          <w:lang w:val="en-US" w:eastAsia="en-US"/>
        </w:rPr>
        <w:t xml:space="preserve">, </w:t>
      </w:r>
      <w:r w:rsidRPr="000430D0">
        <w:t xml:space="preserve"> </w:t>
      </w:r>
      <w:r w:rsidRPr="000430D0">
        <w:rPr>
          <w:sz w:val="20"/>
          <w:lang w:val="en-US" w:eastAsia="en-US"/>
        </w:rPr>
        <w:t>Draft LS on A New PRACH Cyclic Shift Restriction Set</w:t>
      </w:r>
    </w:p>
    <w:p w:rsidR="009C6BDC" w:rsidRPr="002B21F6" w:rsidRDefault="009C6BDC" w:rsidP="000430D0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bookmarkStart w:id="4" w:name="_Ref447018578"/>
      <w:r w:rsidRPr="00D41E4E">
        <w:t>R4-15436</w:t>
      </w:r>
      <w:r>
        <w:t>4</w:t>
      </w:r>
      <w:r w:rsidRPr="00D41E4E">
        <w:t>, “A New Cyclic Shift Restriction Set for Very High Speed Cells”, Alcatel-Lucent</w:t>
      </w:r>
      <w:bookmarkEnd w:id="4"/>
    </w:p>
    <w:p w:rsidR="009C6BDC" w:rsidRDefault="009C6BDC" w:rsidP="000430D0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bookmarkStart w:id="5" w:name="_Ref447018597"/>
      <w:r w:rsidRPr="001A0C11">
        <w:t xml:space="preserve">R4-152604, “BS performance evaluation under new scenarios”, Huawei, </w:t>
      </w:r>
      <w:proofErr w:type="spellStart"/>
      <w:r w:rsidRPr="001A0C11">
        <w:t>HiSilicon</w:t>
      </w:r>
      <w:bookmarkEnd w:id="5"/>
      <w:proofErr w:type="spellEnd"/>
    </w:p>
    <w:p w:rsidR="00213FC6" w:rsidRDefault="00851946" w:rsidP="00851946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bookmarkStart w:id="6" w:name="_Ref447177255"/>
      <w:r w:rsidRPr="00851946">
        <w:rPr>
          <w:sz w:val="20"/>
          <w:lang w:val="en-US" w:eastAsia="en-US"/>
        </w:rPr>
        <w:lastRenderedPageBreak/>
        <w:t>R4-158133</w:t>
      </w:r>
      <w:r>
        <w:rPr>
          <w:sz w:val="20"/>
          <w:lang w:val="en-US" w:eastAsia="en-US"/>
        </w:rPr>
        <w:t xml:space="preserve">. </w:t>
      </w:r>
      <w:r w:rsidRPr="00851946">
        <w:rPr>
          <w:sz w:val="20"/>
          <w:lang w:val="en-US" w:eastAsia="en-US"/>
        </w:rPr>
        <w:t>TP Handover and Cell reselection in Unidirectional SFN</w:t>
      </w:r>
      <w:r>
        <w:rPr>
          <w:sz w:val="20"/>
          <w:lang w:val="en-US" w:eastAsia="en-US"/>
        </w:rPr>
        <w:t>, Ericsson</w:t>
      </w:r>
      <w:bookmarkEnd w:id="6"/>
    </w:p>
    <w:bookmarkEnd w:id="0"/>
    <w:bookmarkEnd w:id="1"/>
    <w:bookmarkEnd w:id="2"/>
    <w:p w:rsidR="00C60D49" w:rsidRPr="00C60D49" w:rsidRDefault="00C60D49" w:rsidP="00A82AA4">
      <w:pPr>
        <w:spacing w:after="180"/>
        <w:rPr>
          <w:sz w:val="20"/>
          <w:lang w:val="en-US" w:eastAsia="en-US"/>
        </w:rPr>
      </w:pPr>
    </w:p>
    <w:p w:rsidR="00C76FB8" w:rsidRDefault="00C76FB8"/>
    <w:sectPr w:rsidR="00C76FB8" w:rsidSect="00875A1D">
      <w:pgSz w:w="12240" w:h="15840"/>
      <w:pgMar w:top="1440" w:right="1797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10C15FE7"/>
    <w:multiLevelType w:val="hybridMultilevel"/>
    <w:tmpl w:val="1736DD48"/>
    <w:lvl w:ilvl="0" w:tplc="949A4256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28C0CA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6EA1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8C5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1682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563B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8EE5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AE1D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2226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9F978E9"/>
    <w:multiLevelType w:val="hybridMultilevel"/>
    <w:tmpl w:val="669A7826"/>
    <w:lvl w:ilvl="0" w:tplc="B8BEE1FC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2A0086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4259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005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3A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BA4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0440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6FB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C80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5C80964"/>
    <w:multiLevelType w:val="hybridMultilevel"/>
    <w:tmpl w:val="E9C00184"/>
    <w:lvl w:ilvl="0" w:tplc="75CC713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7540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2049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C6F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282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1E3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0EC4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9E81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E299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F2D3CBA"/>
    <w:multiLevelType w:val="hybridMultilevel"/>
    <w:tmpl w:val="E770663C"/>
    <w:lvl w:ilvl="0" w:tplc="370E81C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9B7C89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7EE9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38C9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58B1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A0A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0028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CEBC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A23F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C2C4891"/>
    <w:multiLevelType w:val="hybridMultilevel"/>
    <w:tmpl w:val="7026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156C54"/>
    <w:multiLevelType w:val="hybridMultilevel"/>
    <w:tmpl w:val="EAFC6A0C"/>
    <w:lvl w:ilvl="0" w:tplc="C7B4FDD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C3A8B6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4E433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544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B2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967B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D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D4F6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2B617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28"/>
  </w:num>
  <w:num w:numId="3">
    <w:abstractNumId w:val="9"/>
  </w:num>
  <w:num w:numId="4">
    <w:abstractNumId w:val="21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24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6"/>
  </w:num>
  <w:num w:numId="22">
    <w:abstractNumId w:val="17"/>
  </w:num>
  <w:num w:numId="23">
    <w:abstractNumId w:val="7"/>
  </w:num>
  <w:num w:numId="24">
    <w:abstractNumId w:val="18"/>
  </w:num>
  <w:num w:numId="25">
    <w:abstractNumId w:val="11"/>
  </w:num>
  <w:num w:numId="26">
    <w:abstractNumId w:val="15"/>
  </w:num>
  <w:num w:numId="27">
    <w:abstractNumId w:val="25"/>
  </w:num>
  <w:num w:numId="28">
    <w:abstractNumId w:val="27"/>
  </w:num>
  <w:num w:numId="29">
    <w:abstractNumId w:val="2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7FD"/>
    <w:rsid w:val="00021436"/>
    <w:rsid w:val="000430D0"/>
    <w:rsid w:val="00077357"/>
    <w:rsid w:val="00104330"/>
    <w:rsid w:val="0016545B"/>
    <w:rsid w:val="001977FD"/>
    <w:rsid w:val="001A058B"/>
    <w:rsid w:val="001B798A"/>
    <w:rsid w:val="001E29AF"/>
    <w:rsid w:val="00213FC6"/>
    <w:rsid w:val="00277A26"/>
    <w:rsid w:val="002A2AFE"/>
    <w:rsid w:val="002B21F6"/>
    <w:rsid w:val="00322E95"/>
    <w:rsid w:val="00336D74"/>
    <w:rsid w:val="00376185"/>
    <w:rsid w:val="003B052E"/>
    <w:rsid w:val="003C681A"/>
    <w:rsid w:val="004469CC"/>
    <w:rsid w:val="004553A4"/>
    <w:rsid w:val="00460E28"/>
    <w:rsid w:val="00470495"/>
    <w:rsid w:val="00490C81"/>
    <w:rsid w:val="004971C2"/>
    <w:rsid w:val="004E0E98"/>
    <w:rsid w:val="0053671A"/>
    <w:rsid w:val="00567459"/>
    <w:rsid w:val="005B46D2"/>
    <w:rsid w:val="005B7B53"/>
    <w:rsid w:val="005E5745"/>
    <w:rsid w:val="006966FB"/>
    <w:rsid w:val="006A16B7"/>
    <w:rsid w:val="006D4569"/>
    <w:rsid w:val="006E2CA0"/>
    <w:rsid w:val="006E4172"/>
    <w:rsid w:val="0072719C"/>
    <w:rsid w:val="00731419"/>
    <w:rsid w:val="00737E58"/>
    <w:rsid w:val="0078398B"/>
    <w:rsid w:val="00785B46"/>
    <w:rsid w:val="007A055B"/>
    <w:rsid w:val="0080272C"/>
    <w:rsid w:val="00810AB4"/>
    <w:rsid w:val="008374D6"/>
    <w:rsid w:val="00851946"/>
    <w:rsid w:val="00875A1D"/>
    <w:rsid w:val="008C2B6D"/>
    <w:rsid w:val="008F5E02"/>
    <w:rsid w:val="00944918"/>
    <w:rsid w:val="009960D7"/>
    <w:rsid w:val="009C1B91"/>
    <w:rsid w:val="009C6BDC"/>
    <w:rsid w:val="009D0B0A"/>
    <w:rsid w:val="009E06F6"/>
    <w:rsid w:val="009F7F21"/>
    <w:rsid w:val="00A522D3"/>
    <w:rsid w:val="00A82AA4"/>
    <w:rsid w:val="00A847FB"/>
    <w:rsid w:val="00A961DB"/>
    <w:rsid w:val="00AB6860"/>
    <w:rsid w:val="00AE01D8"/>
    <w:rsid w:val="00AE17FD"/>
    <w:rsid w:val="00B009D5"/>
    <w:rsid w:val="00B47E19"/>
    <w:rsid w:val="00B63FB0"/>
    <w:rsid w:val="00B73890"/>
    <w:rsid w:val="00B8022D"/>
    <w:rsid w:val="00BB72E4"/>
    <w:rsid w:val="00BC018F"/>
    <w:rsid w:val="00C041C0"/>
    <w:rsid w:val="00C34659"/>
    <w:rsid w:val="00C60D49"/>
    <w:rsid w:val="00C651A2"/>
    <w:rsid w:val="00C760C7"/>
    <w:rsid w:val="00C76FB8"/>
    <w:rsid w:val="00CA1334"/>
    <w:rsid w:val="00CC14D9"/>
    <w:rsid w:val="00D065A1"/>
    <w:rsid w:val="00D4102F"/>
    <w:rsid w:val="00D7753A"/>
    <w:rsid w:val="00D909E3"/>
    <w:rsid w:val="00DE2F23"/>
    <w:rsid w:val="00E92C4A"/>
    <w:rsid w:val="00EA3187"/>
    <w:rsid w:val="00EF7D15"/>
    <w:rsid w:val="00F36E2C"/>
    <w:rsid w:val="00F43F8E"/>
    <w:rsid w:val="00F61475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table" w:styleId="TableGrid">
    <w:name w:val="Table Grid"/>
    <w:basedOn w:val="TableNormal"/>
    <w:uiPriority w:val="59"/>
    <w:rsid w:val="000430D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14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419"/>
    <w:rPr>
      <w:sz w:val="20"/>
    </w:rPr>
  </w:style>
  <w:style w:type="character" w:customStyle="1" w:styleId="CommentTextChar">
    <w:name w:val="Comment Text Char"/>
    <w:link w:val="CommentText"/>
    <w:rsid w:val="00731419"/>
    <w:rPr>
      <w:rFonts w:eastAsia="SimSu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731419"/>
    <w:rPr>
      <w:b/>
      <w:bCs/>
    </w:rPr>
  </w:style>
  <w:style w:type="character" w:customStyle="1" w:styleId="CommentSubjectChar">
    <w:name w:val="Comment Subject Char"/>
    <w:link w:val="CommentSubject"/>
    <w:rsid w:val="00731419"/>
    <w:rPr>
      <w:rFonts w:eastAsia="SimSun"/>
      <w:b/>
      <w:bCs/>
      <w:lang w:val="en-GB" w:eastAsia="zh-CN"/>
    </w:rPr>
  </w:style>
  <w:style w:type="paragraph" w:styleId="BalloonText">
    <w:name w:val="Balloon Text"/>
    <w:basedOn w:val="Normal"/>
    <w:link w:val="BalloonTextChar"/>
    <w:rsid w:val="007314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1419"/>
    <w:rPr>
      <w:rFonts w:ascii="Tahoma" w:eastAsia="SimSun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E17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table" w:styleId="TableGrid">
    <w:name w:val="Table Grid"/>
    <w:basedOn w:val="TableNormal"/>
    <w:uiPriority w:val="59"/>
    <w:rsid w:val="000430D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14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419"/>
    <w:rPr>
      <w:sz w:val="20"/>
    </w:rPr>
  </w:style>
  <w:style w:type="character" w:customStyle="1" w:styleId="CommentTextChar">
    <w:name w:val="Comment Text Char"/>
    <w:link w:val="CommentText"/>
    <w:rsid w:val="00731419"/>
    <w:rPr>
      <w:rFonts w:eastAsia="SimSu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731419"/>
    <w:rPr>
      <w:b/>
      <w:bCs/>
    </w:rPr>
  </w:style>
  <w:style w:type="character" w:customStyle="1" w:styleId="CommentSubjectChar">
    <w:name w:val="Comment Subject Char"/>
    <w:link w:val="CommentSubject"/>
    <w:rsid w:val="00731419"/>
    <w:rPr>
      <w:rFonts w:eastAsia="SimSun"/>
      <w:b/>
      <w:bCs/>
      <w:lang w:val="en-GB" w:eastAsia="zh-CN"/>
    </w:rPr>
  </w:style>
  <w:style w:type="paragraph" w:styleId="BalloonText">
    <w:name w:val="Balloon Text"/>
    <w:basedOn w:val="Normal"/>
    <w:link w:val="BalloonTextChar"/>
    <w:rsid w:val="007314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1419"/>
    <w:rPr>
      <w:rFonts w:ascii="Tahoma" w:eastAsia="SimSun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E17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skeleton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61EB9-BD28-4EA4-BAA9-E4B9B9782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Magnus</dc:creator>
  <cp:keywords>XP</cp:keywords>
  <cp:lastModifiedBy>Daniel Larsson</cp:lastModifiedBy>
  <cp:revision>6</cp:revision>
  <cp:lastPrinted>2016-03-29T08:06:00Z</cp:lastPrinted>
  <dcterms:created xsi:type="dcterms:W3CDTF">2016-03-29T10:46:00Z</dcterms:created>
  <dcterms:modified xsi:type="dcterms:W3CDTF">2016-03-31T07:20:00Z</dcterms:modified>
</cp:coreProperties>
</file>